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lineRule="atLeast" w:line="280"/>
        <w:jc w:val="center"/>
        <w:rPr>
          <w:rFonts w:ascii="Arial" w:hAnsi="Arial" w:cs="Arial"/>
          <w:b/>
          <w:b/>
          <w:bCs/>
          <w:spacing w:val="40"/>
          <w:sz w:val="32"/>
          <w:szCs w:val="32"/>
          <w:u w:val="none"/>
        </w:rPr>
      </w:pPr>
      <w:r>
        <w:rPr>
          <w:rFonts w:cs="Arial" w:ascii="Arial" w:hAnsi="Arial"/>
          <w:b/>
          <w:bCs/>
          <w:spacing w:val="40"/>
          <w:sz w:val="32"/>
          <w:szCs w:val="32"/>
          <w:u w:val="none"/>
        </w:rPr>
      </w:r>
    </w:p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 MILASÍN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Zastupitelstvo obce Milasín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Obecně závazná vyhláška obce Milasín č. 2/2021,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/>
      </w:pPr>
      <w:r>
        <w:rPr>
          <w:rFonts w:cs="Arial" w:ascii="Arial" w:hAnsi="Arial"/>
          <w:b w:val="false"/>
          <w:sz w:val="22"/>
          <w:szCs w:val="22"/>
        </w:rPr>
        <w:t>Zastupitelstvo obce Milasín se na svém zasedání dne 1.12.2021 usnesením č. 5/2021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/>
      </w:pPr>
      <w:r>
        <w:rPr>
          <w:rFonts w:cs="Arial" w:ascii="Arial" w:hAnsi="Arial"/>
          <w:sz w:val="22"/>
          <w:szCs w:val="22"/>
        </w:rPr>
        <w:t>Obec Milasín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/>
      </w:pPr>
      <w:r>
        <w:rPr>
          <w:rFonts w:cs="Arial" w:ascii="Arial" w:hAnsi="Arial"/>
          <w:sz w:val="22"/>
          <w:szCs w:val="22"/>
        </w:rPr>
        <w:t>Správcem poplatku je obecní úřad Milasín.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6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6"/>
        </w:numPr>
        <w:spacing w:lineRule="auto" w:line="264" w:before="120" w:after="60"/>
        <w:ind w:left="567" w:hanging="567"/>
        <w:jc w:val="both"/>
        <w:rPr/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Normal"/>
        <w:numPr>
          <w:ilvl w:val="0"/>
          <w:numId w:val="0"/>
        </w:numPr>
        <w:spacing w:lineRule="auto" w:line="264" w:before="120" w:after="60"/>
        <w:ind w:left="135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30. dnů ode dne vzniku své poplatkové povinnosti. </w:t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9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  <w:br/>
        <w:t>v poplatkových věcech,</w:t>
      </w:r>
    </w:p>
    <w:p>
      <w:pPr>
        <w:pStyle w:val="Normal"/>
        <w:numPr>
          <w:ilvl w:val="1"/>
          <w:numId w:val="9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9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Dojde-li ke změně údajů uvedených v ohlášení, je poplatník povinen tuto změnu oznámit do 30 dnů </w:t>
      </w:r>
      <w:r>
        <w:rPr>
          <w:rFonts w:cs="Arial" w:ascii="Arial" w:hAnsi="Arial"/>
          <w:sz w:val="20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2"/>
        </w:numPr>
        <w:spacing w:lineRule="auto" w:line="264" w:before="120" w:after="60"/>
        <w:jc w:val="both"/>
        <w:rPr/>
      </w:pPr>
      <w:r>
        <w:rPr>
          <w:rFonts w:cs="Arial" w:ascii="Arial" w:hAnsi="Arial"/>
          <w:sz w:val="22"/>
          <w:szCs w:val="22"/>
        </w:rPr>
        <w:t>Sazba poplatku činí 250,- Kč.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Normal"/>
        <w:spacing w:before="120" w:after="0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Poplatek je splatný jednorázově, a to nejpozději do 30.3.  příslušného kalendářního roku. </w:t>
      </w:r>
    </w:p>
    <w:p>
      <w:pPr>
        <w:pStyle w:val="Normal"/>
        <w:numPr>
          <w:ilvl w:val="0"/>
          <w:numId w:val="3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3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>
      <w:pPr>
        <w:pStyle w:val="Slalnk"/>
        <w:spacing w:before="480" w:after="60"/>
        <w:rPr/>
      </w:pPr>
      <w:r>
        <w:rPr>
          <w:rFonts w:cs="Arial" w:ascii="Arial" w:hAnsi="Arial"/>
        </w:rPr>
        <w:t>Čl. 7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Osvobození a úlevy</w:t>
      </w:r>
    </w:p>
    <w:p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rPr/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Default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64" w:before="120" w:after="0"/>
        <w:ind w:left="567" w:hanging="567"/>
        <w:jc w:val="both"/>
        <w:rPr/>
      </w:pPr>
      <w:r>
        <w:rPr>
          <w:rFonts w:cs="Arial" w:ascii="Arial" w:hAnsi="Arial"/>
          <w:sz w:val="22"/>
          <w:szCs w:val="22"/>
        </w:rPr>
        <w:t>(2)</w:t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4"/>
      </w:r>
    </w:p>
    <w:p>
      <w:pPr>
        <w:pStyle w:val="Normal"/>
        <w:tabs>
          <w:tab w:val="clear" w:pos="708"/>
          <w:tab w:val="left" w:pos="3780" w:leader="none"/>
        </w:tabs>
        <w:spacing w:lineRule="auto" w:line="264"/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/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5"/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>
          <w:rFonts w:ascii="Arial" w:hAnsi="Arial" w:cs="Arial"/>
        </w:rPr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Přechodná ustanovení</w:t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cs="Arial" w:ascii="Arial" w:hAnsi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cs="Arial" w:ascii="Arial" w:hAnsi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/>
      </w:pPr>
      <w:r>
        <w:rPr>
          <w:rFonts w:cs="Arial" w:ascii="Arial" w:hAnsi="Arial"/>
        </w:rPr>
        <w:t>Čl. 12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ormal"/>
        <w:spacing w:lineRule="auto" w:line="288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cs="Arial" w:ascii="Arial" w:hAnsi="Arial"/>
          <w:sz w:val="22"/>
          <w:szCs w:val="22"/>
        </w:rPr>
        <w:t xml:space="preserve">Zrušuje se obecně závazná vyhláška </w:t>
      </w:r>
      <w:bookmarkEnd w:id="1"/>
      <w:r>
        <w:rPr>
          <w:rFonts w:cs="Arial" w:ascii="Arial" w:hAnsi="Arial"/>
          <w:sz w:val="22"/>
          <w:szCs w:val="22"/>
        </w:rPr>
        <w:t>č</w:t>
      </w:r>
      <w:r>
        <w:rPr>
          <w:rFonts w:cs="Arial" w:ascii="Arial" w:hAnsi="Arial"/>
          <w:b/>
          <w:sz w:val="22"/>
          <w:szCs w:val="22"/>
        </w:rPr>
        <w:t xml:space="preserve">. </w:t>
      </w:r>
      <w:r>
        <w:rPr>
          <w:rFonts w:cs="Arial" w:ascii="Arial" w:hAnsi="Arial"/>
          <w:b w:val="false"/>
          <w:bCs w:val="false"/>
          <w:sz w:val="22"/>
          <w:szCs w:val="22"/>
        </w:rPr>
        <w:t>3/2019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>o místním poplatku za provoz systému shromažďování, sběru, přepravy, třídění, využívání a odstraňování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komunálních odpadů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ze dne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b w:val="false"/>
          <w:i/>
          <w:sz w:val="22"/>
          <w:szCs w:val="22"/>
        </w:rPr>
        <w:t>3.12.2019 usnesen</w:t>
      </w:r>
      <w:r>
        <w:rPr>
          <w:rFonts w:cs="Arial" w:ascii="Arial" w:hAnsi="Arial"/>
          <w:b w:val="false"/>
          <w:i/>
          <w:sz w:val="22"/>
          <w:szCs w:val="22"/>
        </w:rPr>
        <w:t>í</w:t>
      </w:r>
      <w:r>
        <w:rPr>
          <w:rFonts w:cs="Arial" w:ascii="Arial" w:hAnsi="Arial"/>
          <w:b w:val="false"/>
          <w:i/>
          <w:sz w:val="22"/>
          <w:szCs w:val="22"/>
        </w:rPr>
        <w:t xml:space="preserve"> č.8/2019</w:t>
      </w:r>
      <w:r>
        <w:rPr>
          <w:rFonts w:cs="Arial" w:ascii="Arial" w:hAnsi="Arial"/>
          <w:i/>
          <w:sz w:val="22"/>
          <w:szCs w:val="22"/>
        </w:rPr>
        <w:t>.</w:t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0070C0"/>
          <w:szCs w:val="24"/>
        </w:rPr>
      </w:pPr>
      <w:r>
        <w:rPr>
          <w:rFonts w:cs="Arial" w:ascii="Arial" w:hAnsi="Arial"/>
          <w:b w:val="false"/>
          <w:bCs w:val="false"/>
          <w:i/>
          <w:color w:val="0070C0"/>
          <w:szCs w:val="24"/>
        </w:rPr>
      </w:r>
    </w:p>
    <w:p>
      <w:pPr>
        <w:pStyle w:val="Normal"/>
        <w:spacing w:lineRule="auto" w:line="288" w:before="120" w:after="0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 xml:space="preserve">Tato vyhláška nabývá účinnosti dnem 1.1.2022. 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Cs w:val="24"/>
        </w:rPr>
      </w:pPr>
      <w:r>
        <w:rPr>
          <w:rFonts w:cs="Arial" w:ascii="Arial" w:hAnsi="Arial"/>
          <w:b w:val="false"/>
          <w:bCs w:val="false"/>
          <w:i/>
          <w:color w:val="1A4BD6"/>
          <w:szCs w:val="24"/>
        </w:rPr>
      </w:r>
    </w:p>
    <w:p>
      <w:pPr>
        <w:pStyle w:val="Nzvylnk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64" w:before="0" w:after="0"/>
        <w:rPr/>
      </w:pPr>
      <w:r>
        <w:rPr>
          <w:rFonts w:cs="Arial" w:ascii="Arial" w:hAnsi="Arial"/>
          <w:i/>
          <w:sz w:val="22"/>
          <w:szCs w:val="22"/>
        </w:rPr>
        <w:tab/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/>
      </w:pPr>
      <w:r>
        <w:rPr>
          <w:rFonts w:cs="Arial" w:ascii="Arial" w:hAnsi="Arial"/>
          <w:sz w:val="22"/>
          <w:szCs w:val="22"/>
        </w:rPr>
        <w:tab/>
        <w:t xml:space="preserve">František Šustal </w:t>
        <w:tab/>
        <w:t>Marie Dvořáková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místostarosta</w:t>
        <w:tab/>
        <w:t>starostka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/>
      </w:pPr>
      <w:r>
        <w:rPr>
          <w:rFonts w:cs="Arial" w:ascii="Arial" w:hAnsi="Arial"/>
          <w:sz w:val="22"/>
          <w:szCs w:val="22"/>
        </w:rPr>
        <w:t>Vyvěšeno na úřední desce dne:2.12.2021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/>
      </w:pPr>
      <w:r>
        <w:rPr>
          <w:rFonts w:cs="Arial" w:ascii="Arial" w:hAnsi="Arial"/>
          <w:sz w:val="22"/>
          <w:szCs w:val="22"/>
        </w:rPr>
        <w:t>Sejmuto z úřední desky dne:31.12.2021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/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6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1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1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link w:val="Zpat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c119a6"/>
    <w:rPr/>
  </w:style>
  <w:style w:type="character" w:styleId="PedmtkomenteChar" w:customStyle="1">
    <w:name w:val="Předmět komentáře Char"/>
    <w:link w:val="Pedmtkomente"/>
    <w:qFormat/>
    <w:rsid w:val="00c119a6"/>
    <w:rPr>
      <w:b/>
      <w:bCs/>
    </w:rPr>
  </w:style>
  <w:style w:type="character" w:styleId="TextbublinyChar" w:customStyle="1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7">
    <w:name w:val="ListLabel 7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8">
    <w:name w:val="ListLabel 8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10">
    <w:name w:val="ListLabel 10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18">
    <w:name w:val="ListLabel 18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21">
    <w:name w:val="ListLabel 21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22">
    <w:name w:val="ListLabel 22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23">
    <w:name w:val="ListLabel 23"/>
    <w:qFormat/>
    <w:rPr>
      <w:rFonts w:eastAsia="Calibri" w:cs="Calibri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Calibri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32">
    <w:name w:val="ListLabel 32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33">
    <w:name w:val="ListLabel 33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34">
    <w:name w:val="ListLabel 34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35">
    <w:name w:val="ListLabel 35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36">
    <w:name w:val="ListLabel 36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38">
    <w:name w:val="ListLabel 38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39">
    <w:name w:val="ListLabel 39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0">
    <w:name w:val="ListLabel 40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1">
    <w:name w:val="ListLabel 41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2">
    <w:name w:val="ListLabel 42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3">
    <w:name w:val="ListLabel 43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4">
    <w:name w:val="ListLabel 44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45">
    <w:name w:val="ListLabel 45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6">
    <w:name w:val="ListLabel 46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b w:val="false"/>
      <w:i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49">
    <w:name w:val="ListLabel 49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50">
    <w:name w:val="ListLabel 50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51">
    <w:name w:val="ListLabel 51"/>
    <w:qFormat/>
    <w:rPr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52">
    <w:name w:val="ListLabel 52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53">
    <w:name w:val="ListLabel 53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54">
    <w:name w:val="ListLabel 54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character" w:styleId="ListLabel55">
    <w:name w:val="ListLabel 55"/>
    <w:qFormat/>
    <w:rPr>
      <w:rFonts w:ascii="Arial" w:hAnsi="Arial"/>
      <w:b w:val="false"/>
      <w:i w:val="false"/>
      <w:strike w:val="false"/>
      <w:dstrike w:val="false"/>
      <w:color w:val="auto"/>
      <w:position w:val="0"/>
      <w:sz w:val="22"/>
      <w:sz w:val="22"/>
      <w:vertAlign w:val="baseline"/>
    </w:rPr>
  </w:style>
  <w:style w:type="character" w:styleId="ListLabel56">
    <w:name w:val="ListLabel 56"/>
    <w:qFormat/>
    <w:rPr>
      <w:rFonts w:ascii="Arial" w:hAnsi="Arial"/>
      <w:b w:val="false"/>
      <w:i w:val="false"/>
      <w:strike w:val="false"/>
      <w:dstrike w:val="false"/>
      <w:position w:val="0"/>
      <w:sz w:val="22"/>
      <w:sz w:val="22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tru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LibreOffice/6.2.2.2$Windows_X86_64 LibreOffice_project/2b840030fec2aae0fd2658d8d4f9548af4e3518d</Application>
  <Pages>5</Pages>
  <Words>1356</Words>
  <Characters>7698</Characters>
  <CharactersWithSpaces>8972</CharactersWithSpaces>
  <Paragraphs>106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2020-12-11T10:10:00Z</dcterms:created>
  <dc:creator>Mgr. Lukáš Toman</dc:creator>
  <dc:description/>
  <dc:language>cs-CZ</dc:language>
  <cp:lastModifiedBy/>
  <cp:lastPrinted>2021-12-01T17:20:43Z</cp:lastPrinted>
  <dcterms:modified xsi:type="dcterms:W3CDTF">2021-12-01T17:21:05Z</dcterms:modified>
  <cp:revision>5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